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227" w:after="227" w:line="460" w:lineRule="exact"/>
        <w:jc w:val="center"/>
        <w:textAlignment w:val="center"/>
        <w:outlineLvl w:val="1"/>
        <w:rPr>
          <w:rFonts w:ascii="Times New Roman" w:hAnsi="Times New Roman" w:eastAsia="黑体" w:cs="Times New Roman"/>
          <w:color w:val="000000"/>
          <w:kern w:val="0"/>
          <w:sz w:val="32"/>
          <w:szCs w:val="32"/>
          <w:shd w:val="clear" w:color="auto" w:fill="FFFFFF"/>
          <w:lang w:val="zh-CN"/>
        </w:rPr>
      </w:pPr>
      <w:bookmarkStart w:id="3" w:name="_GoBack"/>
      <w:bookmarkStart w:id="0" w:name="_Toc50630902"/>
      <w:bookmarkStart w:id="1" w:name="_Toc10907"/>
      <w:r>
        <w:rPr>
          <w:rFonts w:ascii="Times New Roman" w:hAnsi="Times New Roman" w:eastAsia="黑体" w:cs="Times New Roman"/>
          <w:color w:val="000000"/>
          <w:kern w:val="0"/>
          <w:sz w:val="32"/>
          <w:szCs w:val="32"/>
          <w:shd w:val="clear" w:color="auto" w:fill="FFFFFF"/>
          <w:lang w:val="zh-CN"/>
        </w:rPr>
        <w:t>北京工商大学优秀研究生学位论文评选办法</w:t>
      </w:r>
      <w:bookmarkEnd w:id="3"/>
      <w:bookmarkEnd w:id="0"/>
      <w:bookmarkEnd w:id="1"/>
    </w:p>
    <w:p>
      <w:pPr>
        <w:autoSpaceDE w:val="0"/>
        <w:autoSpaceDN w:val="0"/>
        <w:adjustRightInd w:val="0"/>
        <w:spacing w:before="227" w:after="227" w:line="460" w:lineRule="exact"/>
        <w:jc w:val="center"/>
        <w:textAlignment w:val="center"/>
        <w:outlineLvl w:val="1"/>
        <w:rPr>
          <w:rFonts w:ascii="Times New Roman" w:hAnsi="Times New Roman" w:eastAsia="楷体" w:cs="Times New Roman"/>
          <w:kern w:val="0"/>
          <w:sz w:val="28"/>
          <w:szCs w:val="28"/>
          <w:shd w:val="clear" w:color="auto" w:fill="FFFFFF"/>
          <w:lang w:val="zh-CN"/>
        </w:rPr>
      </w:pPr>
      <w:bookmarkStart w:id="2" w:name="_Toc166"/>
      <w:r>
        <w:rPr>
          <w:rFonts w:hint="eastAsia" w:ascii="Times New Roman" w:hAnsi="Times New Roman" w:eastAsia="楷体" w:cs="Times New Roman"/>
          <w:kern w:val="0"/>
          <w:sz w:val="28"/>
          <w:szCs w:val="28"/>
          <w:shd w:val="clear" w:color="auto" w:fill="FFFFFF"/>
          <w:lang w:val="zh-CN"/>
        </w:rPr>
        <w:t>北工商研字[2020]25号</w:t>
      </w:r>
      <w:bookmarkEnd w:id="2"/>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为了提高研究生培养质量和学位论文水平，激励研究生的创新精神，充分发挥研究生指导教师的积极性，每年在全校范围内开展优秀硕士、博士学位论文评选活动。具体办法如下：</w:t>
      </w:r>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一、评选对象</w:t>
      </w:r>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我校当年6月申请硕士、博士学位的研究生学位论文，申请保密论文不得参加评选。</w:t>
      </w:r>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二、评选原则</w:t>
      </w:r>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科学公正；注重创新；严格筛选；宁缺毋滥。</w:t>
      </w:r>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三、评选基本条件</w:t>
      </w:r>
    </w:p>
    <w:p>
      <w:pPr>
        <w:autoSpaceDE w:val="0"/>
        <w:autoSpaceDN w:val="0"/>
        <w:adjustRightInd w:val="0"/>
        <w:spacing w:line="460" w:lineRule="exact"/>
        <w:ind w:firstLine="560" w:firstLineChars="200"/>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1.选题对经济建设、科技进步和社会发展具有较大理论意义或实用价值。</w:t>
      </w:r>
    </w:p>
    <w:p>
      <w:pPr>
        <w:autoSpaceDE w:val="0"/>
        <w:autoSpaceDN w:val="0"/>
        <w:adjustRightInd w:val="0"/>
        <w:spacing w:line="460" w:lineRule="exact"/>
        <w:ind w:firstLine="560" w:firstLineChars="200"/>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2.在科学理论、专门技术或研究方法上有创新，研究结果具有较好的社会效益或应用前景。</w:t>
      </w:r>
    </w:p>
    <w:p>
      <w:pPr>
        <w:autoSpaceDE w:val="0"/>
        <w:autoSpaceDN w:val="0"/>
        <w:adjustRightInd w:val="0"/>
        <w:spacing w:line="460" w:lineRule="exact"/>
        <w:ind w:firstLine="560" w:firstLineChars="200"/>
        <w:textAlignment w:val="center"/>
        <w:rPr>
          <w:rFonts w:ascii="Times New Roman" w:hAnsi="Times New Roman" w:eastAsia="楷体" w:cs="Times New Roman"/>
          <w:color w:val="FF0000"/>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3.论文推理严密，材料翔实，数据可靠，表达准确，层次分明，图表规范，论文格式符合《北京工商大学研究生学位论文写作规范》的规定，博士学位论文文字重复率在15%（不含15%）以内，硕士学位论文文字重复率在20%（不含20%）以内。</w:t>
      </w:r>
    </w:p>
    <w:p>
      <w:pPr>
        <w:autoSpaceDE w:val="0"/>
        <w:autoSpaceDN w:val="0"/>
        <w:adjustRightInd w:val="0"/>
        <w:spacing w:line="460" w:lineRule="exact"/>
        <w:ind w:firstLine="560" w:firstLineChars="200"/>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4.评阅成绩及答辩成绩</w:t>
      </w:r>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 xml:space="preserve">博士学位论文盲审评阅成绩和答辩成绩平均分均须在85分（含85分）以上，硕士学位论文盲审评阅成绩和答辩成绩平均分均须在80分（含80分）以上或在本专业前30%以内。 </w:t>
      </w:r>
    </w:p>
    <w:p>
      <w:pPr>
        <w:autoSpaceDE w:val="0"/>
        <w:autoSpaceDN w:val="0"/>
        <w:adjustRightInd w:val="0"/>
        <w:spacing w:line="460" w:lineRule="exact"/>
        <w:ind w:firstLine="560" w:firstLineChars="200"/>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5.学术成果</w:t>
      </w:r>
    </w:p>
    <w:p>
      <w:pPr>
        <w:autoSpaceDE w:val="0"/>
        <w:autoSpaceDN w:val="0"/>
        <w:adjustRightInd w:val="0"/>
        <w:spacing w:line="460" w:lineRule="exact"/>
        <w:ind w:firstLine="560" w:firstLineChars="200"/>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原则上，理工科博士研究生评选至少有3篇以第一作者公开发表与学位论文相关的的学术论文被SCI收录，或以第一作者公开发表与学位论文相关的学术论文的影响因子在5.0（含5.0）以上，人文社科类博士研究生至少有3篇以第一作者公开发表的与学位论文相关的的学术论文被SSCI或SCI或CSSCI收录。</w:t>
      </w:r>
    </w:p>
    <w:p>
      <w:pPr>
        <w:autoSpaceDE w:val="0"/>
        <w:autoSpaceDN w:val="0"/>
        <w:adjustRightInd w:val="0"/>
        <w:spacing w:line="460" w:lineRule="exact"/>
        <w:ind w:firstLine="560" w:firstLineChars="200"/>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理工科学术硕士研究生原则上至少有2篇（本人第一或导师第一本人第二）在国内外专业核心刊物上发表与学位论文内容相关的学术论文（或1篇A类期刊论文），人文社科类学术硕士研究生原则上至少有1篇（本人第一或导师第一本人第二）在国内外专业核心刊物上发表与学位论文内容相关的学术论文。</w:t>
      </w:r>
    </w:p>
    <w:p>
      <w:pPr>
        <w:autoSpaceDE w:val="0"/>
        <w:autoSpaceDN w:val="0"/>
        <w:adjustRightInd w:val="0"/>
        <w:spacing w:line="460" w:lineRule="exact"/>
        <w:ind w:firstLine="560" w:firstLineChars="200"/>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以上成果均要求第一署名单位为北京工商大学。</w:t>
      </w:r>
    </w:p>
    <w:p>
      <w:pPr>
        <w:autoSpaceDE w:val="0"/>
        <w:autoSpaceDN w:val="0"/>
        <w:adjustRightInd w:val="0"/>
        <w:spacing w:line="460" w:lineRule="exact"/>
        <w:ind w:firstLine="560" w:firstLineChars="200"/>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专业学位硕士研究生申请优秀学位论文条件由学院根据本院情况自行规定</w:t>
      </w:r>
      <w:r>
        <w:rPr>
          <w:rFonts w:ascii="Times New Roman" w:hAnsi="Times New Roman" w:eastAsia="楷体" w:cs="Times New Roman"/>
          <w:sz w:val="28"/>
          <w:szCs w:val="28"/>
          <w:shd w:val="clear" w:color="auto" w:fill="FFFFFF"/>
        </w:rPr>
        <w:t>。</w:t>
      </w:r>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四、评选比例</w:t>
      </w:r>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原则上，优秀论文数量不超过当年已通过学位论文答辩的应届毕业全日制研究生总数的10%。</w:t>
      </w:r>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五、评选时间</w:t>
      </w:r>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学校每年组织一次校级优秀学位论文评选，时间安排在每年3-6月份。</w:t>
      </w:r>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六、评选程序</w:t>
      </w:r>
    </w:p>
    <w:p>
      <w:pPr>
        <w:autoSpaceDE w:val="0"/>
        <w:autoSpaceDN w:val="0"/>
        <w:adjustRightInd w:val="0"/>
        <w:spacing w:line="460" w:lineRule="exact"/>
        <w:ind w:firstLine="560" w:firstLineChars="200"/>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1.本人申请。凡符合条件的研究生均须本人在研究生综合管理系统内提交申请，并向所在学院提交北京工商大学研究生优秀学位论文评选申请表（2份）。</w:t>
      </w:r>
    </w:p>
    <w:p>
      <w:pPr>
        <w:autoSpaceDE w:val="0"/>
        <w:autoSpaceDN w:val="0"/>
        <w:adjustRightInd w:val="0"/>
        <w:spacing w:line="460" w:lineRule="exact"/>
        <w:ind w:firstLine="560" w:firstLineChars="200"/>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2.所有参加评选优秀学位论文都需送校外专家进行匿名评阅。</w:t>
      </w:r>
    </w:p>
    <w:p>
      <w:pPr>
        <w:autoSpaceDE w:val="0"/>
        <w:autoSpaceDN w:val="0"/>
        <w:adjustRightInd w:val="0"/>
        <w:spacing w:line="460" w:lineRule="exact"/>
        <w:ind w:firstLine="560" w:firstLineChars="200"/>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3.各学院在评选优秀学位论文之前，根据本学院的情况在学校的基本条件之上对申请优秀学位论文的条件可以提出更高的要求并制定本学院评选优秀学位论文的具体实施细则。实施细则确定后在本学院公布并通知参评研究生。各学院将公布无异议的实施细则报研究生院备案。</w:t>
      </w:r>
    </w:p>
    <w:p>
      <w:pPr>
        <w:autoSpaceDE w:val="0"/>
        <w:autoSpaceDN w:val="0"/>
        <w:adjustRightInd w:val="0"/>
        <w:spacing w:line="460" w:lineRule="exact"/>
        <w:ind w:firstLine="565" w:firstLineChars="20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4.学院学位评定分委员会对符合参评条件的学位论文进行审议，并以无记名投票方式选出同意推荐优秀学位论文名单，并写出推荐意见后将推荐名单在学院网站上公示，公示时间不少于3天。</w:t>
      </w:r>
    </w:p>
    <w:p>
      <w:pPr>
        <w:autoSpaceDE w:val="0"/>
        <w:autoSpaceDN w:val="0"/>
        <w:adjustRightInd w:val="0"/>
        <w:spacing w:line="460" w:lineRule="exact"/>
        <w:ind w:firstLine="565" w:firstLineChars="20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5.研究生院进行审核。各学院将推荐名单报研究生院，研究生院审核后，将优秀研究生学位论文名单于研究生院网站予以公示，公示期不少于3天。</w:t>
      </w:r>
    </w:p>
    <w:p>
      <w:pPr>
        <w:autoSpaceDE w:val="0"/>
        <w:autoSpaceDN w:val="0"/>
        <w:adjustRightInd w:val="0"/>
        <w:spacing w:line="460" w:lineRule="exact"/>
        <w:ind w:firstLine="565" w:firstLineChars="20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6.公示期满后，研究生院将无异议的学位论文名单及指导教师名单报校学位评定委员会备案。</w:t>
      </w:r>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七、奖励办法</w:t>
      </w:r>
    </w:p>
    <w:p>
      <w:pPr>
        <w:autoSpaceDE w:val="0"/>
        <w:autoSpaceDN w:val="0"/>
        <w:adjustRightInd w:val="0"/>
        <w:spacing w:line="460" w:lineRule="exact"/>
        <w:ind w:firstLine="454"/>
        <w:jc w:val="left"/>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学校对优秀研究生学位论文作者和指导教师分别颁发“年度优秀研究生学位论文”和“年度优秀研究生学位论文指导教师”证书，并予以适当奖励。</w:t>
      </w:r>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八、异议处理</w:t>
      </w:r>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1.为了保证评选结果的公正性和准确性，在公示期内，任何单位或个人如发现公示的博士（硕士）研究生学位论文存在剽窃、作假、失实、主要研究成果不能成立等问题，可以书面、实名的方式向研究生院提出异议。</w:t>
      </w:r>
    </w:p>
    <w:p>
      <w:pPr>
        <w:widowControl/>
        <w:snapToGrid w:val="0"/>
        <w:spacing w:before="75" w:after="75" w:line="460" w:lineRule="exact"/>
        <w:ind w:firstLine="565" w:firstLineChars="202"/>
        <w:jc w:val="left"/>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2.提出异议的书面材料应包括异议论文的题目、作者姓名、异议内容，支持异议的具体证据或科学依据，以及提出异议者的真实姓名、工作单位、联系地址、联系电话等。不符合上述规定的异议不予受理。</w:t>
      </w:r>
    </w:p>
    <w:p>
      <w:pPr>
        <w:widowControl/>
        <w:snapToGrid w:val="0"/>
        <w:spacing w:before="75" w:after="75" w:line="460" w:lineRule="exact"/>
        <w:ind w:firstLine="560" w:firstLineChars="200"/>
        <w:jc w:val="left"/>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3.研究生院对提出异议的单位和个人信息给予严格保密。如经过调查核实，确认存在严重问题，无论何时，学校均取消其参评优秀博士（硕士）学位论文的资格或取消已授予的优秀博士（硕士）学位论文等荣誉称号，追回各类奖励，并将处理结果予以公布。</w:t>
      </w:r>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 xml:space="preserve">九、本办法自发布之日起执行，由研究生院负责解释。 </w:t>
      </w:r>
    </w:p>
    <w:p>
      <w:pPr>
        <w:autoSpaceDE w:val="0"/>
        <w:autoSpaceDN w:val="0"/>
        <w:adjustRightInd w:val="0"/>
        <w:spacing w:line="460" w:lineRule="exact"/>
        <w:ind w:firstLine="593" w:firstLineChars="212"/>
        <w:textAlignment w:val="center"/>
        <w:rPr>
          <w:rFonts w:ascii="Times New Roman" w:hAnsi="Times New Roman" w:eastAsia="楷体" w:cs="Times New Roman"/>
          <w:kern w:val="0"/>
          <w:sz w:val="28"/>
          <w:szCs w:val="28"/>
          <w:shd w:val="clear" w:color="auto" w:fill="FFFFFF"/>
          <w:lang w:val="zh-CN"/>
        </w:rPr>
      </w:pPr>
    </w:p>
    <w:p>
      <w:pPr>
        <w:autoSpaceDE w:val="0"/>
        <w:autoSpaceDN w:val="0"/>
        <w:adjustRightInd w:val="0"/>
        <w:spacing w:line="460" w:lineRule="exact"/>
        <w:ind w:firstLine="593" w:firstLineChars="212"/>
        <w:textAlignment w:val="center"/>
        <w:rPr>
          <w:rFonts w:hint="eastAsia" w:ascii="Times New Roman" w:hAnsi="Times New Roman" w:eastAsia="楷体" w:cs="Times New Roman"/>
          <w:kern w:val="0"/>
          <w:sz w:val="28"/>
          <w:szCs w:val="28"/>
          <w:shd w:val="clear" w:color="auto" w:fill="FFFFFF"/>
          <w:lang w:val="zh-CN"/>
        </w:rPr>
      </w:pPr>
    </w:p>
    <w:p>
      <w:pPr>
        <w:autoSpaceDE w:val="0"/>
        <w:autoSpaceDN w:val="0"/>
        <w:adjustRightInd w:val="0"/>
        <w:spacing w:line="460" w:lineRule="exact"/>
        <w:ind w:firstLine="454"/>
        <w:jc w:val="right"/>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北京工商大学研究生院</w:t>
      </w:r>
    </w:p>
    <w:p>
      <w:pPr>
        <w:autoSpaceDE w:val="0"/>
        <w:autoSpaceDN w:val="0"/>
        <w:adjustRightInd w:val="0"/>
        <w:spacing w:line="460" w:lineRule="exact"/>
        <w:ind w:firstLine="454"/>
        <w:jc w:val="right"/>
        <w:textAlignment w:val="center"/>
        <w:rPr>
          <w:rFonts w:hint="eastAsia" w:ascii="Times New Roman" w:hAnsi="Times New Roman" w:eastAsia="楷体" w:cs="Times New Roman"/>
          <w:kern w:val="0"/>
          <w:sz w:val="28"/>
          <w:szCs w:val="28"/>
          <w:shd w:val="clear" w:color="auto" w:fill="FFFFFF"/>
          <w:lang w:val="zh-CN"/>
        </w:rPr>
      </w:pPr>
      <w:r>
        <w:rPr>
          <w:rFonts w:hint="eastAsia" w:ascii="Times New Roman" w:hAnsi="Times New Roman" w:eastAsia="楷体" w:cs="Times New Roman"/>
          <w:kern w:val="0"/>
          <w:sz w:val="28"/>
          <w:szCs w:val="28"/>
          <w:shd w:val="clear" w:color="auto" w:fill="FFFFFF"/>
          <w:lang w:val="zh-CN"/>
        </w:rPr>
        <w:t>2013年5月制定</w:t>
      </w:r>
    </w:p>
    <w:p>
      <w:pPr>
        <w:autoSpaceDE w:val="0"/>
        <w:autoSpaceDN w:val="0"/>
        <w:adjustRightInd w:val="0"/>
        <w:spacing w:line="460" w:lineRule="exact"/>
        <w:ind w:firstLine="454"/>
        <w:jc w:val="right"/>
        <w:textAlignment w:val="center"/>
        <w:rPr>
          <w:rFonts w:ascii="Times New Roman" w:hAnsi="Times New Roman" w:eastAsia="楷体" w:cs="Times New Roman"/>
          <w:kern w:val="0"/>
          <w:sz w:val="28"/>
          <w:szCs w:val="28"/>
          <w:shd w:val="clear" w:color="auto" w:fill="FFFFFF"/>
          <w:lang w:val="zh-CN"/>
        </w:rPr>
      </w:pPr>
      <w:r>
        <w:rPr>
          <w:rFonts w:ascii="Times New Roman" w:hAnsi="Times New Roman" w:eastAsia="楷体" w:cs="Times New Roman"/>
          <w:kern w:val="0"/>
          <w:sz w:val="28"/>
          <w:szCs w:val="28"/>
          <w:shd w:val="clear" w:color="auto" w:fill="FFFFFF"/>
          <w:lang w:val="zh-CN"/>
        </w:rPr>
        <w:t>2020年8月</w:t>
      </w:r>
      <w:r>
        <w:rPr>
          <w:rFonts w:hint="eastAsia" w:ascii="Times New Roman" w:hAnsi="Times New Roman" w:eastAsia="楷体" w:cs="Times New Roman"/>
          <w:kern w:val="0"/>
          <w:sz w:val="28"/>
          <w:szCs w:val="28"/>
          <w:shd w:val="clear" w:color="auto" w:fill="FFFFFF"/>
          <w:lang w:val="zh-CN"/>
        </w:rPr>
        <w:t>第七次</w:t>
      </w:r>
      <w:r>
        <w:rPr>
          <w:rFonts w:ascii="Times New Roman" w:hAnsi="Times New Roman" w:eastAsia="楷体" w:cs="Times New Roman"/>
          <w:kern w:val="0"/>
          <w:sz w:val="28"/>
          <w:szCs w:val="28"/>
          <w:shd w:val="clear" w:color="auto" w:fill="FFFFFF"/>
          <w:lang w:val="zh-CN"/>
        </w:rPr>
        <w:t>修订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72FF"/>
    <w:rsid w:val="6F3A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2021-04-02T08:09:00Z</dcterms:created>
  <dc:creator>dell</dc:creator>
  <cp:lastModifiedBy>dell</cp:lastModifiedBy>
  <dcterms:modified xsi:type="dcterms:W3CDTF">2021-04-02T08:10:28Z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E1ADDA3C32BD4DF2924344345B58BD59</vt:lpwstr>
  </property>
</Properties>
</file>